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YSpec="top"/>
        <w:tblW w:w="0" w:type="auto"/>
        <w:tblBorders>
          <w:insideH w:val="single" w:sz="4" w:space="0" w:color="FFFFFF"/>
          <w:insideV w:val="single" w:sz="4" w:space="0" w:color="FFFFFF"/>
        </w:tblBorders>
        <w:shd w:val="clear" w:color="auto" w:fill="666699"/>
        <w:tblLook w:val="04A0" w:firstRow="1" w:lastRow="0" w:firstColumn="1" w:lastColumn="0" w:noHBand="0" w:noVBand="1"/>
      </w:tblPr>
      <w:tblGrid>
        <w:gridCol w:w="1440"/>
        <w:gridCol w:w="2747"/>
      </w:tblGrid>
      <w:tr w:rsidR="00945F5A" w:rsidTr="0021508A">
        <w:trPr>
          <w:trHeight w:val="1440"/>
        </w:trPr>
        <w:tc>
          <w:tcPr>
            <w:tcW w:w="1440" w:type="dxa"/>
            <w:shd w:val="clear" w:color="auto" w:fill="666699"/>
          </w:tcPr>
          <w:p w:rsidR="00945F5A" w:rsidRDefault="00945F5A" w:rsidP="0021508A">
            <w:pPr>
              <w:jc w:val="both"/>
            </w:pPr>
          </w:p>
        </w:tc>
        <w:tc>
          <w:tcPr>
            <w:tcW w:w="2747" w:type="dxa"/>
            <w:shd w:val="clear" w:color="auto" w:fill="666699"/>
            <w:vAlign w:val="bottom"/>
          </w:tcPr>
          <w:p w:rsidR="00945F5A" w:rsidRPr="004E21FC" w:rsidRDefault="00945F5A" w:rsidP="00E40E94">
            <w:pPr>
              <w:pStyle w:val="Cuadrculamedia21"/>
              <w:jc w:val="both"/>
              <w:rPr>
                <w:bCs/>
                <w:color w:val="FFFFFF"/>
              </w:rPr>
            </w:pPr>
            <w:r w:rsidRPr="004E21FC">
              <w:rPr>
                <w:bCs/>
                <w:color w:val="FFFFFF"/>
              </w:rPr>
              <w:t>[</w:t>
            </w:r>
            <w:r w:rsidR="00E40E94">
              <w:rPr>
                <w:bCs/>
                <w:color w:val="FFFFFF"/>
              </w:rPr>
              <w:t>enero</w:t>
            </w:r>
            <w:r w:rsidRPr="00115D87">
              <w:rPr>
                <w:bCs/>
                <w:color w:val="FFFFFF" w:themeColor="background1"/>
              </w:rPr>
              <w:t xml:space="preserve"> 201</w:t>
            </w:r>
            <w:r w:rsidR="00E40E94">
              <w:rPr>
                <w:bCs/>
                <w:color w:val="FFFFFF" w:themeColor="background1"/>
              </w:rPr>
              <w:t>9</w:t>
            </w:r>
            <w:r w:rsidRPr="004E21FC">
              <w:rPr>
                <w:bCs/>
                <w:color w:val="FFFFFF"/>
              </w:rPr>
              <w:t>]</w:t>
            </w:r>
          </w:p>
        </w:tc>
      </w:tr>
    </w:tbl>
    <w:p w:rsidR="00945F5A" w:rsidRPr="005247DA" w:rsidRDefault="00945F5A" w:rsidP="00945F5A">
      <w:pPr>
        <w:spacing w:after="0"/>
        <w:jc w:val="both"/>
        <w:rPr>
          <w:vanish/>
        </w:rPr>
      </w:pPr>
    </w:p>
    <w:tbl>
      <w:tblPr>
        <w:tblpPr w:leftFromText="141" w:rightFromText="141" w:vertAnchor="text" w:horzAnchor="margin" w:tblpY="283"/>
        <w:tblW w:w="1500" w:type="pct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2550"/>
      </w:tblGrid>
      <w:tr w:rsidR="00945F5A" w:rsidRPr="004E21FC" w:rsidTr="0021508A">
        <w:trPr>
          <w:trHeight w:val="835"/>
        </w:trPr>
        <w:tc>
          <w:tcPr>
            <w:tcW w:w="5000" w:type="pct"/>
            <w:shd w:val="clear" w:color="auto" w:fill="666699"/>
            <w:vAlign w:val="center"/>
            <w:hideMark/>
          </w:tcPr>
          <w:p w:rsidR="00945F5A" w:rsidRPr="004E21FC" w:rsidRDefault="00945F5A" w:rsidP="0021508A">
            <w:pPr>
              <w:spacing w:after="0" w:line="240" w:lineRule="auto"/>
              <w:ind w:left="-142"/>
              <w:jc w:val="both"/>
              <w:rPr>
                <w:rFonts w:eastAsia="Times New Roman"/>
                <w:smallCaps/>
                <w:color w:val="FFFFFF"/>
                <w:sz w:val="20"/>
                <w:szCs w:val="20"/>
              </w:rPr>
            </w:pPr>
            <w:r w:rsidRPr="004E21FC">
              <w:rPr>
                <w:rFonts w:eastAsia="Times New Roman"/>
                <w:smallCaps/>
                <w:color w:val="FFFFFF"/>
                <w:sz w:val="20"/>
                <w:szCs w:val="20"/>
              </w:rPr>
              <w:t>FCC</w:t>
            </w:r>
          </w:p>
          <w:p w:rsidR="00945F5A" w:rsidRPr="004E21FC" w:rsidRDefault="00F75D48" w:rsidP="00E40E94">
            <w:pPr>
              <w:spacing w:after="0" w:line="240" w:lineRule="auto"/>
              <w:ind w:left="-142" w:right="-218"/>
              <w:jc w:val="both"/>
              <w:rPr>
                <w:rFonts w:eastAsia="Times New Roman"/>
                <w:smallCaps/>
                <w:sz w:val="20"/>
                <w:szCs w:val="20"/>
              </w:rPr>
            </w:pPr>
            <w:r>
              <w:rPr>
                <w:rFonts w:eastAsia="Times New Roman"/>
                <w:smallCaps/>
                <w:color w:val="FFFFFF"/>
                <w:sz w:val="20"/>
                <w:szCs w:val="20"/>
              </w:rPr>
              <w:t xml:space="preserve">Departamento </w:t>
            </w:r>
            <w:r w:rsidR="00945F5A" w:rsidRPr="004E21FC">
              <w:rPr>
                <w:rFonts w:eastAsia="Times New Roman"/>
                <w:smallCaps/>
                <w:color w:val="FFFFFF"/>
                <w:sz w:val="20"/>
                <w:szCs w:val="20"/>
              </w:rPr>
              <w:t xml:space="preserve">de </w:t>
            </w:r>
            <w:r>
              <w:rPr>
                <w:rFonts w:eastAsia="Times New Roman"/>
                <w:smallCaps/>
                <w:color w:val="FFFFFF"/>
                <w:sz w:val="20"/>
                <w:szCs w:val="20"/>
              </w:rPr>
              <w:t>S</w:t>
            </w:r>
            <w:r w:rsidR="00671F5D">
              <w:rPr>
                <w:rFonts w:eastAsia="Times New Roman"/>
                <w:smallCaps/>
                <w:color w:val="FFFFFF"/>
                <w:sz w:val="20"/>
                <w:szCs w:val="20"/>
              </w:rPr>
              <w:t>ervicios Generales</w:t>
            </w:r>
          </w:p>
        </w:tc>
      </w:tr>
      <w:tr w:rsidR="00945F5A" w:rsidRPr="004E21FC" w:rsidTr="0021508A">
        <w:trPr>
          <w:trHeight w:val="836"/>
        </w:trPr>
        <w:tc>
          <w:tcPr>
            <w:tcW w:w="5000" w:type="pct"/>
            <w:shd w:val="clear" w:color="auto" w:fill="D9D9D9"/>
            <w:vAlign w:val="center"/>
            <w:hideMark/>
          </w:tcPr>
          <w:p w:rsidR="00945F5A" w:rsidRPr="004E21FC" w:rsidRDefault="00671F5D" w:rsidP="00671F5D">
            <w:pPr>
              <w:spacing w:after="0" w:line="240" w:lineRule="auto"/>
              <w:ind w:left="-142" w:hanging="5"/>
              <w:jc w:val="both"/>
              <w:rPr>
                <w:rFonts w:eastAsia="Times New Roman"/>
                <w:smallCaps/>
                <w:sz w:val="20"/>
                <w:szCs w:val="20"/>
              </w:rPr>
            </w:pPr>
            <w:r>
              <w:rPr>
                <w:rFonts w:eastAsia="Times New Roman"/>
                <w:smallCaps/>
                <w:sz w:val="20"/>
                <w:szCs w:val="20"/>
              </w:rPr>
              <w:t>Secretaría General</w:t>
            </w:r>
            <w:r w:rsidR="00945F5A" w:rsidRPr="004E21FC">
              <w:rPr>
                <w:rFonts w:eastAsia="Times New Roman"/>
                <w:smallCaps/>
                <w:sz w:val="20"/>
                <w:szCs w:val="20"/>
              </w:rPr>
              <w:t xml:space="preserve"> </w:t>
            </w:r>
          </w:p>
        </w:tc>
      </w:tr>
    </w:tbl>
    <w:p w:rsidR="00945F5A" w:rsidRDefault="00945F5A" w:rsidP="00945F5A">
      <w:pPr>
        <w:jc w:val="both"/>
      </w:pPr>
    </w:p>
    <w:p w:rsidR="00945F5A" w:rsidRPr="00A450BA" w:rsidRDefault="00945F5A" w:rsidP="00945F5A">
      <w:pPr>
        <w:jc w:val="both"/>
        <w:rPr>
          <w:sz w:val="18"/>
          <w:szCs w:val="18"/>
        </w:rPr>
      </w:pPr>
    </w:p>
    <w:p w:rsidR="00945F5A" w:rsidRPr="00A450BA" w:rsidRDefault="00945F5A" w:rsidP="00945F5A">
      <w:pPr>
        <w:jc w:val="both"/>
        <w:rPr>
          <w:sz w:val="18"/>
          <w:szCs w:val="18"/>
        </w:rPr>
      </w:pPr>
    </w:p>
    <w:tbl>
      <w:tblPr>
        <w:tblpPr w:leftFromText="187" w:rightFromText="187" w:vertAnchor="page" w:horzAnchor="margin" w:tblpY="12856"/>
        <w:tblW w:w="5359" w:type="pct"/>
        <w:tblLook w:val="04A0" w:firstRow="1" w:lastRow="0" w:firstColumn="1" w:lastColumn="0" w:noHBand="0" w:noVBand="1"/>
      </w:tblPr>
      <w:tblGrid>
        <w:gridCol w:w="9115"/>
      </w:tblGrid>
      <w:tr w:rsidR="00945F5A" w:rsidRPr="00A450BA" w:rsidTr="0021508A">
        <w:trPr>
          <w:trHeight w:val="847"/>
        </w:trPr>
        <w:tc>
          <w:tcPr>
            <w:tcW w:w="5000" w:type="pct"/>
          </w:tcPr>
          <w:p w:rsidR="00945F5A" w:rsidRPr="009218FD" w:rsidRDefault="00945F5A" w:rsidP="00671F5D">
            <w:pPr>
              <w:pStyle w:val="Cuadrculamedia21"/>
              <w:jc w:val="center"/>
              <w:rPr>
                <w:bCs/>
                <w:i/>
                <w:caps/>
                <w:color w:val="808080"/>
                <w:sz w:val="36"/>
                <w:szCs w:val="36"/>
              </w:rPr>
            </w:pPr>
            <w:r w:rsidRPr="009218FD">
              <w:rPr>
                <w:bCs/>
                <w:i/>
                <w:color w:val="808080"/>
                <w:sz w:val="36"/>
                <w:szCs w:val="36"/>
              </w:rPr>
              <w:t xml:space="preserve">Procedimiento de </w:t>
            </w:r>
            <w:r w:rsidR="00671F5D">
              <w:rPr>
                <w:bCs/>
                <w:i/>
                <w:color w:val="808080"/>
                <w:sz w:val="36"/>
                <w:szCs w:val="36"/>
              </w:rPr>
              <w:t>gestión</w:t>
            </w:r>
            <w:r w:rsidRPr="009218FD">
              <w:rPr>
                <w:bCs/>
                <w:i/>
                <w:color w:val="808080"/>
                <w:sz w:val="36"/>
                <w:szCs w:val="36"/>
              </w:rPr>
              <w:t xml:space="preserve"> del servicio de mensajería</w:t>
            </w:r>
          </w:p>
        </w:tc>
      </w:tr>
    </w:tbl>
    <w:p w:rsidR="00945F5A" w:rsidRDefault="00945F5A" w:rsidP="00945F5A">
      <w:pPr>
        <w:rPr>
          <w:rFonts w:ascii="Verdana" w:hAnsi="Verdana"/>
          <w:color w:val="000099"/>
          <w:sz w:val="20"/>
          <w:szCs w:val="20"/>
        </w:rPr>
      </w:pPr>
    </w:p>
    <w:p w:rsidR="00945F5A" w:rsidRDefault="00945F5A">
      <w:pPr>
        <w:rPr>
          <w:rFonts w:ascii="Verdana" w:hAnsi="Verdana"/>
          <w:color w:val="000099"/>
          <w:sz w:val="20"/>
          <w:szCs w:val="20"/>
        </w:rPr>
      </w:pPr>
      <w:bookmarkStart w:id="0" w:name="_GoBack"/>
      <w:r>
        <w:rPr>
          <w:rFonts w:ascii="Verdana" w:hAnsi="Verdana"/>
          <w:color w:val="000099"/>
          <w:sz w:val="20"/>
          <w:szCs w:val="20"/>
        </w:rPr>
        <w:br w:type="page"/>
      </w:r>
      <w:r>
        <w:rPr>
          <w:rFonts w:ascii="Arial" w:hAnsi="Arial" w:cs="Arial"/>
          <w:bCs/>
          <w:i/>
          <w:noProof/>
          <w:color w:val="A6A6A6"/>
          <w:sz w:val="52"/>
          <w:szCs w:val="5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29DCF61" wp14:editId="3B29945B">
            <wp:simplePos x="0" y="0"/>
            <wp:positionH relativeFrom="column">
              <wp:posOffset>-177800</wp:posOffset>
            </wp:positionH>
            <wp:positionV relativeFrom="paragraph">
              <wp:posOffset>1913890</wp:posOffset>
            </wp:positionV>
            <wp:extent cx="2926080" cy="2109470"/>
            <wp:effectExtent l="95250" t="95250" r="102870" b="100330"/>
            <wp:wrapSquare wrapText="bothSides"/>
            <wp:docPr id="4" name="Imagen 4" descr="C:\Users\AESCUDEROP\AppData\Local\Microsoft\Windows\Temporary Internet Files\Content.Outlook\CJY2K4P3\FCCSC_vertical_rg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SCUDEROP\AppData\Local\Microsoft\Windows\Temporary Internet Files\Content.Outlook\CJY2K4P3\FCCSC_vertical_rgb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945F5A" w:rsidRPr="00945F5A" w:rsidRDefault="00945F5A" w:rsidP="00945F5A">
      <w:pPr>
        <w:rPr>
          <w:rFonts w:ascii="Verdana" w:hAnsi="Verdana"/>
          <w:color w:val="000099"/>
          <w:sz w:val="20"/>
          <w:szCs w:val="20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0"/>
          <w:szCs w:val="20"/>
          <w:lang w:val="es-ES" w:eastAsia="en-US"/>
        </w:rPr>
        <w:id w:val="212896178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7D23C4" w:rsidRPr="007D23C4" w:rsidRDefault="007D23C4">
          <w:pPr>
            <w:pStyle w:val="TtulodeTDC"/>
            <w:rPr>
              <w:rFonts w:ascii="Arial" w:hAnsi="Arial" w:cs="Arial"/>
              <w:sz w:val="20"/>
              <w:szCs w:val="20"/>
              <w:lang w:val="es-ES"/>
            </w:rPr>
          </w:pPr>
          <w:r w:rsidRPr="007D23C4">
            <w:rPr>
              <w:rFonts w:ascii="Arial" w:hAnsi="Arial" w:cs="Arial"/>
              <w:sz w:val="20"/>
              <w:szCs w:val="20"/>
              <w:lang w:val="es-ES"/>
            </w:rPr>
            <w:t>Contenido</w:t>
          </w:r>
        </w:p>
        <w:p w:rsidR="007D23C4" w:rsidRPr="007D23C4" w:rsidRDefault="007D23C4" w:rsidP="007D23C4">
          <w:pPr>
            <w:rPr>
              <w:rFonts w:ascii="Arial" w:hAnsi="Arial" w:cs="Arial"/>
              <w:sz w:val="20"/>
              <w:szCs w:val="20"/>
              <w:lang w:val="es-ES" w:eastAsia="es-ES_tradnl"/>
            </w:rPr>
          </w:pPr>
        </w:p>
        <w:p w:rsidR="00F62227" w:rsidRDefault="007D23C4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 w:rsidRPr="007D23C4">
            <w:rPr>
              <w:rFonts w:ascii="Arial" w:hAnsi="Arial" w:cs="Arial"/>
              <w:sz w:val="20"/>
              <w:szCs w:val="20"/>
            </w:rPr>
            <w:fldChar w:fldCharType="begin"/>
          </w:r>
          <w:r w:rsidRPr="007D23C4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7D23C4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535409232" w:history="1">
            <w:r w:rsidR="00F62227" w:rsidRPr="00503DCF">
              <w:rPr>
                <w:rStyle w:val="Hipervnculo"/>
                <w:rFonts w:ascii="Arial" w:hAnsi="Arial" w:cs="Arial"/>
                <w:noProof/>
              </w:rPr>
              <w:t>1.</w:t>
            </w:r>
            <w:r w:rsidR="00F62227">
              <w:rPr>
                <w:rFonts w:eastAsiaTheme="minorEastAsia"/>
                <w:noProof/>
                <w:lang w:val="es-ES" w:eastAsia="es-ES"/>
              </w:rPr>
              <w:tab/>
            </w:r>
            <w:r w:rsidR="00F62227" w:rsidRPr="00503DCF">
              <w:rPr>
                <w:rStyle w:val="Hipervnculo"/>
                <w:rFonts w:ascii="Arial" w:hAnsi="Arial" w:cs="Arial"/>
                <w:noProof/>
              </w:rPr>
              <w:t>Objetivo</w:t>
            </w:r>
            <w:r w:rsidR="00F62227">
              <w:rPr>
                <w:noProof/>
                <w:webHidden/>
              </w:rPr>
              <w:tab/>
            </w:r>
            <w:r w:rsidR="00F62227">
              <w:rPr>
                <w:noProof/>
                <w:webHidden/>
              </w:rPr>
              <w:fldChar w:fldCharType="begin"/>
            </w:r>
            <w:r w:rsidR="00F62227">
              <w:rPr>
                <w:noProof/>
                <w:webHidden/>
              </w:rPr>
              <w:instrText xml:space="preserve"> PAGEREF _Toc535409232 \h </w:instrText>
            </w:r>
            <w:r w:rsidR="00F62227">
              <w:rPr>
                <w:noProof/>
                <w:webHidden/>
              </w:rPr>
            </w:r>
            <w:r w:rsidR="00F62227">
              <w:rPr>
                <w:noProof/>
                <w:webHidden/>
              </w:rPr>
              <w:fldChar w:fldCharType="separate"/>
            </w:r>
            <w:r w:rsidR="00F62227">
              <w:rPr>
                <w:noProof/>
                <w:webHidden/>
              </w:rPr>
              <w:t>3</w:t>
            </w:r>
            <w:r w:rsidR="00F62227"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3" w:history="1">
            <w:r w:rsidRPr="00503DCF">
              <w:rPr>
                <w:rStyle w:val="Hipervnculo"/>
                <w:rFonts w:ascii="Arial" w:hAnsi="Arial" w:cs="Arial"/>
                <w:noProof/>
              </w:rPr>
              <w:t>2.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4" w:history="1">
            <w:r w:rsidRPr="00503DCF">
              <w:rPr>
                <w:rStyle w:val="Hipervnculo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Tipología de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5" w:history="1">
            <w:r w:rsidRPr="00503DCF">
              <w:rPr>
                <w:rStyle w:val="Hipervnculo"/>
                <w:rFonts w:ascii="Arial" w:hAnsi="Arial" w:cs="Arial"/>
                <w:noProof/>
              </w:rPr>
              <w:t>3.1.- Servicios Recurrentes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6" w:history="1">
            <w:r w:rsidRPr="00503DCF">
              <w:rPr>
                <w:rStyle w:val="Hipervnculo"/>
                <w:rFonts w:ascii="Arial" w:hAnsi="Arial" w:cs="Arial"/>
                <w:noProof/>
              </w:rPr>
              <w:t>3.2.- Servicios contratados según necesidad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7" w:history="1">
            <w:r w:rsidRPr="00503DCF">
              <w:rPr>
                <w:rStyle w:val="Hipervnculo"/>
                <w:rFonts w:ascii="Arial" w:hAnsi="Arial" w:cs="Arial"/>
                <w:noProof/>
              </w:rPr>
              <w:t>4.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Organización de la gestión de mensajería en el Grupo FCC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8" w:history="1">
            <w:r w:rsidRPr="00503DCF">
              <w:rPr>
                <w:rStyle w:val="Hipervnculo"/>
                <w:rFonts w:ascii="Arial" w:hAnsi="Arial" w:cs="Arial"/>
                <w:noProof/>
              </w:rPr>
              <w:t>4.1.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Servicios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39" w:history="1">
            <w:r w:rsidRPr="00503DCF">
              <w:rPr>
                <w:rStyle w:val="Hipervnculo"/>
                <w:rFonts w:ascii="Arial" w:hAnsi="Arial" w:cs="Arial"/>
                <w:noProof/>
              </w:rPr>
              <w:t>4.2.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Compras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40" w:history="1">
            <w:r w:rsidRPr="00503DCF">
              <w:rPr>
                <w:rStyle w:val="Hipervnculo"/>
                <w:rFonts w:ascii="Arial" w:hAnsi="Arial" w:cs="Arial"/>
                <w:noProof/>
              </w:rPr>
              <w:t>4.3.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Áreas operativas y funcionales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41" w:history="1">
            <w:r w:rsidRPr="00503DCF">
              <w:rPr>
                <w:rStyle w:val="Hipervnculo"/>
                <w:rFonts w:ascii="Arial" w:hAnsi="Arial" w:cs="Arial"/>
                <w:noProof/>
              </w:rPr>
              <w:t>5.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Política y Procedimiento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2227" w:rsidRDefault="00F62227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35409242" w:history="1">
            <w:r w:rsidRPr="00503DCF">
              <w:rPr>
                <w:rStyle w:val="Hipervnculo"/>
                <w:rFonts w:ascii="Arial" w:hAnsi="Arial" w:cs="Arial"/>
                <w:noProof/>
              </w:rPr>
              <w:t>6.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503DCF">
              <w:rPr>
                <w:rStyle w:val="Hipervnculo"/>
                <w:rFonts w:ascii="Arial" w:hAnsi="Arial" w:cs="Arial"/>
                <w:noProof/>
              </w:rPr>
              <w:t>Ahorro y control del gasto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_Toc535409242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23C4" w:rsidRDefault="007D23C4">
          <w:r w:rsidRPr="007D23C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:rsidR="00945F5A" w:rsidRDefault="00945F5A">
      <w:pPr>
        <w:rPr>
          <w:rFonts w:ascii="Verdana" w:hAnsi="Verdana"/>
          <w:color w:val="000099"/>
          <w:sz w:val="20"/>
          <w:szCs w:val="20"/>
        </w:rPr>
      </w:pPr>
      <w:r>
        <w:rPr>
          <w:rFonts w:ascii="Verdana" w:hAnsi="Verdana"/>
          <w:color w:val="000099"/>
          <w:sz w:val="20"/>
          <w:szCs w:val="20"/>
        </w:rPr>
        <w:br w:type="page"/>
      </w:r>
    </w:p>
    <w:p w:rsidR="000A2408" w:rsidRPr="00EC358A" w:rsidRDefault="008D6F78" w:rsidP="00F4622F">
      <w:pPr>
        <w:pStyle w:val="Ttulo1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b w:val="0"/>
          <w:color w:val="0000CC"/>
          <w:sz w:val="20"/>
          <w:szCs w:val="20"/>
        </w:rPr>
      </w:pPr>
      <w:bookmarkStart w:id="1" w:name="_Toc535409232"/>
      <w:r w:rsidRPr="00EC358A">
        <w:rPr>
          <w:rFonts w:ascii="Arial" w:hAnsi="Arial" w:cs="Arial"/>
          <w:b w:val="0"/>
          <w:color w:val="0000CC"/>
          <w:sz w:val="20"/>
          <w:szCs w:val="20"/>
        </w:rPr>
        <w:lastRenderedPageBreak/>
        <w:t>Objetivo</w:t>
      </w:r>
      <w:bookmarkEnd w:id="1"/>
    </w:p>
    <w:p w:rsidR="00671F5D" w:rsidRDefault="00671F5D" w:rsidP="00671F5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71F5D" w:rsidRPr="00671F5D" w:rsidRDefault="00671F5D" w:rsidP="00671F5D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 xml:space="preserve">El objetivo del presente documento es definir las normas internas del Grupo FCC para la contratación y utilización de los Servicios de Mensajería. </w:t>
      </w:r>
    </w:p>
    <w:p w:rsidR="008D6F78" w:rsidRPr="00EC358A" w:rsidRDefault="008D6F78" w:rsidP="00F4622F">
      <w:pPr>
        <w:pStyle w:val="Ttulo1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b w:val="0"/>
          <w:color w:val="0000CC"/>
          <w:sz w:val="20"/>
          <w:szCs w:val="20"/>
        </w:rPr>
      </w:pPr>
      <w:bookmarkStart w:id="2" w:name="_Toc535409233"/>
      <w:r w:rsidRPr="00EC358A">
        <w:rPr>
          <w:rFonts w:ascii="Arial" w:hAnsi="Arial" w:cs="Arial"/>
          <w:b w:val="0"/>
          <w:color w:val="0000CC"/>
          <w:sz w:val="20"/>
          <w:szCs w:val="20"/>
        </w:rPr>
        <w:t>Alcance</w:t>
      </w:r>
      <w:bookmarkEnd w:id="2"/>
    </w:p>
    <w:p w:rsidR="00F75D48" w:rsidRPr="00F75D48" w:rsidRDefault="00F75D48" w:rsidP="00F4622F">
      <w:pPr>
        <w:spacing w:line="240" w:lineRule="auto"/>
        <w:rPr>
          <w:rFonts w:ascii="Arial" w:hAnsi="Arial" w:cs="Arial"/>
          <w:sz w:val="20"/>
          <w:szCs w:val="20"/>
        </w:rPr>
      </w:pPr>
    </w:p>
    <w:p w:rsidR="00DC42F6" w:rsidRPr="00F75D48" w:rsidRDefault="00671F5D" w:rsidP="00671F5D">
      <w:pPr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El contenido y las directrices del presente documento serán de aplicación a todas las empresas del Grupo FCC.</w:t>
      </w:r>
    </w:p>
    <w:p w:rsidR="00DC42F6" w:rsidRPr="00EC358A" w:rsidRDefault="00671F5D" w:rsidP="00F4622F">
      <w:pPr>
        <w:pStyle w:val="Ttulo1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b w:val="0"/>
          <w:color w:val="0000CC"/>
          <w:sz w:val="20"/>
          <w:szCs w:val="20"/>
        </w:rPr>
      </w:pPr>
      <w:bookmarkStart w:id="3" w:name="_Toc535409234"/>
      <w:r>
        <w:rPr>
          <w:rFonts w:ascii="Arial" w:hAnsi="Arial" w:cs="Arial"/>
          <w:b w:val="0"/>
          <w:color w:val="0000CC"/>
          <w:sz w:val="20"/>
          <w:szCs w:val="20"/>
        </w:rPr>
        <w:t>Tipología de servicios</w:t>
      </w:r>
      <w:bookmarkEnd w:id="3"/>
    </w:p>
    <w:p w:rsidR="00F75D48" w:rsidRPr="00F75D48" w:rsidRDefault="00F75D48" w:rsidP="00F4622F">
      <w:pPr>
        <w:spacing w:line="240" w:lineRule="auto"/>
        <w:rPr>
          <w:rFonts w:ascii="Arial" w:hAnsi="Arial" w:cs="Arial"/>
          <w:sz w:val="20"/>
          <w:szCs w:val="20"/>
        </w:rPr>
      </w:pPr>
    </w:p>
    <w:p w:rsidR="00671F5D" w:rsidRPr="00671F5D" w:rsidRDefault="00671F5D" w:rsidP="00671F5D">
      <w:pPr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Dentro del servicio de mensajería en el Grupo FCC ser diferencian los siguientes tipos de servicios:</w:t>
      </w:r>
    </w:p>
    <w:p w:rsidR="00245F3C" w:rsidRDefault="00D660EB" w:rsidP="00671F5D">
      <w:pPr>
        <w:pStyle w:val="Ttulo2"/>
        <w:rPr>
          <w:rFonts w:ascii="Arial" w:hAnsi="Arial" w:cs="Arial"/>
          <w:b w:val="0"/>
          <w:color w:val="auto"/>
          <w:sz w:val="20"/>
          <w:szCs w:val="20"/>
        </w:rPr>
      </w:pPr>
      <w:bookmarkStart w:id="4" w:name="_Toc535409235"/>
      <w:r>
        <w:rPr>
          <w:rFonts w:ascii="Arial" w:hAnsi="Arial" w:cs="Arial"/>
          <w:b w:val="0"/>
          <w:color w:val="auto"/>
          <w:sz w:val="20"/>
          <w:szCs w:val="20"/>
        </w:rPr>
        <w:t xml:space="preserve">3.1.- </w:t>
      </w:r>
      <w:r w:rsidRPr="00D660EB">
        <w:rPr>
          <w:rFonts w:ascii="Arial" w:hAnsi="Arial" w:cs="Arial"/>
          <w:b w:val="0"/>
          <w:color w:val="auto"/>
          <w:sz w:val="20"/>
          <w:szCs w:val="20"/>
          <w:u w:val="single"/>
        </w:rPr>
        <w:t>Servicios Recurrentes</w:t>
      </w:r>
      <w:bookmarkEnd w:id="4"/>
    </w:p>
    <w:p w:rsidR="00671F5D" w:rsidRDefault="00671F5D" w:rsidP="00671F5D">
      <w:pPr>
        <w:jc w:val="both"/>
        <w:rPr>
          <w:rFonts w:ascii="Arial" w:hAnsi="Arial" w:cs="Arial"/>
          <w:sz w:val="20"/>
          <w:szCs w:val="20"/>
        </w:rPr>
      </w:pPr>
    </w:p>
    <w:p w:rsidR="00671F5D" w:rsidRPr="00671F5D" w:rsidRDefault="00671F5D" w:rsidP="00671F5D">
      <w:pPr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Se trata de aquellos servicios que se desarrollan de forma continua a lo largo del período de contratación establecido y con los requerimientos de servicio definidos por el Grupo FCC. Este es el caso de:</w:t>
      </w:r>
    </w:p>
    <w:p w:rsidR="00671F5D" w:rsidRPr="00671F5D" w:rsidRDefault="00671F5D" w:rsidP="00671F5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Servicio de Rutas: circuitos diseñados de forma expresa para dar servicio al Grupo FCC en grandes ciudades en los que el proveedor pasa por una serie de direcciones entregando y recogiendo documentación. El circuito puede realizarse una vez o varias veces al día.</w:t>
      </w:r>
    </w:p>
    <w:p w:rsidR="00671F5D" w:rsidRDefault="00671F5D" w:rsidP="00671F5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Servicio de Valijas: se trata de un servicio estándar de recogida de documentación en una dirección y entrega de la misma en otra con unas frecuencias y capacidades de peso definidas según requerimiento del Grupo FCC. Generalmente suelen ser de ida y vuelta.</w:t>
      </w:r>
    </w:p>
    <w:p w:rsidR="00D660EB" w:rsidRPr="00671F5D" w:rsidRDefault="00D660EB" w:rsidP="00D660EB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71F5D" w:rsidRPr="00D660EB" w:rsidRDefault="00671F5D" w:rsidP="00671F5D">
      <w:pPr>
        <w:pStyle w:val="Ttulo2"/>
        <w:rPr>
          <w:rFonts w:ascii="Arial" w:hAnsi="Arial" w:cs="Arial"/>
          <w:b w:val="0"/>
          <w:color w:val="auto"/>
          <w:sz w:val="20"/>
          <w:szCs w:val="20"/>
          <w:u w:val="single"/>
        </w:rPr>
      </w:pPr>
      <w:bookmarkStart w:id="5" w:name="_Toc535409236"/>
      <w:r w:rsidRPr="00671F5D">
        <w:rPr>
          <w:rFonts w:ascii="Arial" w:hAnsi="Arial" w:cs="Arial"/>
          <w:b w:val="0"/>
          <w:color w:val="auto"/>
          <w:sz w:val="20"/>
          <w:szCs w:val="20"/>
        </w:rPr>
        <w:t xml:space="preserve">3.2.- </w:t>
      </w:r>
      <w:r w:rsidRPr="00D660EB">
        <w:rPr>
          <w:rFonts w:ascii="Arial" w:hAnsi="Arial" w:cs="Arial"/>
          <w:b w:val="0"/>
          <w:color w:val="auto"/>
          <w:sz w:val="20"/>
          <w:szCs w:val="20"/>
          <w:u w:val="single"/>
        </w:rPr>
        <w:t>S</w:t>
      </w:r>
      <w:r w:rsidR="00D660EB" w:rsidRPr="00D660EB">
        <w:rPr>
          <w:rFonts w:ascii="Arial" w:hAnsi="Arial" w:cs="Arial"/>
          <w:b w:val="0"/>
          <w:color w:val="auto"/>
          <w:sz w:val="20"/>
          <w:szCs w:val="20"/>
          <w:u w:val="single"/>
        </w:rPr>
        <w:t>ervicios contratados según necesidad</w:t>
      </w:r>
      <w:bookmarkEnd w:id="5"/>
    </w:p>
    <w:p w:rsidR="00671F5D" w:rsidRDefault="00671F5D" w:rsidP="00671F5D">
      <w:pPr>
        <w:rPr>
          <w:rFonts w:ascii="Arial" w:hAnsi="Arial" w:cs="Arial"/>
          <w:sz w:val="20"/>
          <w:szCs w:val="20"/>
        </w:rPr>
      </w:pPr>
    </w:p>
    <w:p w:rsidR="00671F5D" w:rsidRPr="00671F5D" w:rsidRDefault="00671F5D" w:rsidP="00671F5D">
      <w:pPr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Este es el caso de:</w:t>
      </w:r>
    </w:p>
    <w:p w:rsidR="00671F5D" w:rsidRPr="00671F5D" w:rsidRDefault="00671F5D" w:rsidP="00671F5D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Mensajería local: se trata del servicio de mensajería en moto o furgoneta dentro de una ciudad y alrededores.</w:t>
      </w:r>
    </w:p>
    <w:p w:rsidR="00671F5D" w:rsidRPr="00671F5D" w:rsidRDefault="00671F5D" w:rsidP="00671F5D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 xml:space="preserve">Mensajería nacional: servicio de mensajería entre dos puntos del territorio nacional. Dentro de este se diferencia el nacional terrestre (dentro de </w:t>
      </w:r>
      <w:smartTag w:uri="urn:schemas-microsoft-com:office:smarttags" w:element="PersonName">
        <w:smartTagPr>
          <w:attr w:name="ProductID" w:val="la Pen￭nsula"/>
        </w:smartTagPr>
        <w:r w:rsidRPr="00671F5D">
          <w:rPr>
            <w:rFonts w:ascii="Arial" w:hAnsi="Arial" w:cs="Arial"/>
            <w:sz w:val="20"/>
            <w:szCs w:val="20"/>
          </w:rPr>
          <w:t>la Península</w:t>
        </w:r>
      </w:smartTag>
      <w:r w:rsidRPr="00671F5D">
        <w:rPr>
          <w:rFonts w:ascii="Arial" w:hAnsi="Arial" w:cs="Arial"/>
          <w:sz w:val="20"/>
          <w:szCs w:val="20"/>
        </w:rPr>
        <w:t>) y el nacional insular (Islas Canarias, Islas Baleares, Ceuta y Melilla).</w:t>
      </w:r>
    </w:p>
    <w:p w:rsidR="00671F5D" w:rsidRDefault="00671F5D" w:rsidP="00671F5D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1F5D">
        <w:rPr>
          <w:rFonts w:ascii="Arial" w:hAnsi="Arial" w:cs="Arial"/>
          <w:sz w:val="20"/>
          <w:szCs w:val="20"/>
        </w:rPr>
        <w:t>Mensajería internacional: transporte de documentación de España a otros países</w:t>
      </w:r>
      <w:r w:rsidR="009924BF">
        <w:rPr>
          <w:rFonts w:ascii="Arial" w:hAnsi="Arial" w:cs="Arial"/>
          <w:sz w:val="20"/>
          <w:szCs w:val="20"/>
        </w:rPr>
        <w:t xml:space="preserve"> o viceversa</w:t>
      </w:r>
      <w:r w:rsidRPr="00671F5D">
        <w:rPr>
          <w:rFonts w:ascii="Arial" w:hAnsi="Arial" w:cs="Arial"/>
          <w:sz w:val="20"/>
          <w:szCs w:val="20"/>
        </w:rPr>
        <w:t>.</w:t>
      </w:r>
    </w:p>
    <w:p w:rsidR="00C2461D" w:rsidRDefault="00C2461D" w:rsidP="00C2461D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C2461D" w:rsidRPr="00671F5D" w:rsidRDefault="00C2461D" w:rsidP="00C2461D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7CCB" w:rsidRDefault="00C2461D" w:rsidP="00F4622F">
      <w:pPr>
        <w:pStyle w:val="Ttulo1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b w:val="0"/>
          <w:color w:val="0000CC"/>
          <w:sz w:val="20"/>
          <w:szCs w:val="20"/>
        </w:rPr>
      </w:pPr>
      <w:bookmarkStart w:id="6" w:name="_Toc420571504"/>
      <w:bookmarkStart w:id="7" w:name="_Toc535409237"/>
      <w:bookmarkEnd w:id="6"/>
      <w:r>
        <w:rPr>
          <w:rFonts w:ascii="Arial" w:hAnsi="Arial" w:cs="Arial"/>
          <w:b w:val="0"/>
          <w:color w:val="0000CC"/>
          <w:sz w:val="20"/>
          <w:szCs w:val="20"/>
        </w:rPr>
        <w:lastRenderedPageBreak/>
        <w:t>Organización de la gestión de mensajería en el Grupo FCC</w:t>
      </w:r>
      <w:bookmarkEnd w:id="7"/>
    </w:p>
    <w:p w:rsidR="0021508A" w:rsidRDefault="0021508A" w:rsidP="002E7CCB">
      <w:pPr>
        <w:jc w:val="both"/>
        <w:rPr>
          <w:rFonts w:ascii="Arial" w:hAnsi="Arial" w:cs="Arial"/>
          <w:sz w:val="20"/>
          <w:szCs w:val="20"/>
        </w:rPr>
      </w:pPr>
    </w:p>
    <w:p w:rsidR="00C27996" w:rsidRPr="00D660EB" w:rsidRDefault="00D660EB" w:rsidP="00BC51A6">
      <w:pPr>
        <w:pStyle w:val="Ttulo2"/>
        <w:numPr>
          <w:ilvl w:val="1"/>
          <w:numId w:val="4"/>
        </w:numPr>
        <w:tabs>
          <w:tab w:val="left" w:pos="426"/>
        </w:tabs>
        <w:ind w:left="284" w:hanging="284"/>
        <w:rPr>
          <w:rFonts w:ascii="Arial" w:hAnsi="Arial" w:cs="Arial"/>
          <w:b w:val="0"/>
          <w:color w:val="auto"/>
          <w:sz w:val="20"/>
          <w:szCs w:val="20"/>
          <w:u w:val="single"/>
        </w:rPr>
      </w:pPr>
      <w:bookmarkStart w:id="8" w:name="_Toc420571506"/>
      <w:bookmarkStart w:id="9" w:name="_Toc535409238"/>
      <w:bookmarkEnd w:id="8"/>
      <w:r w:rsidRPr="00D660EB">
        <w:rPr>
          <w:rFonts w:ascii="Arial" w:hAnsi="Arial" w:cs="Arial"/>
          <w:b w:val="0"/>
          <w:color w:val="auto"/>
          <w:sz w:val="20"/>
          <w:szCs w:val="20"/>
          <w:u w:val="single"/>
        </w:rPr>
        <w:t>Servicios Generales</w:t>
      </w:r>
      <w:bookmarkEnd w:id="9"/>
    </w:p>
    <w:p w:rsidR="004236DA" w:rsidRDefault="004236DA" w:rsidP="002E7CCB">
      <w:pPr>
        <w:jc w:val="both"/>
        <w:rPr>
          <w:rFonts w:ascii="Verdana" w:hAnsi="Verdana"/>
          <w:sz w:val="20"/>
          <w:szCs w:val="20"/>
        </w:rPr>
      </w:pPr>
    </w:p>
    <w:p w:rsidR="00D660EB" w:rsidRPr="00D660EB" w:rsidRDefault="00D660EB" w:rsidP="00D660EB">
      <w:pPr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Será el encargado de:</w:t>
      </w:r>
    </w:p>
    <w:p w:rsidR="00D660EB" w:rsidRPr="009924BF" w:rsidRDefault="009924BF" w:rsidP="009924B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660EB" w:rsidRPr="00D660EB">
        <w:rPr>
          <w:rFonts w:ascii="Arial" w:hAnsi="Arial" w:cs="Arial"/>
          <w:sz w:val="20"/>
          <w:szCs w:val="20"/>
        </w:rPr>
        <w:t>ealizar el seguimiento de los contratos vigentes  a efectos de los  cumplimientos de los acuerdos económicos y de los requerimientos de servicio y calidad establecidos.</w:t>
      </w:r>
    </w:p>
    <w:p w:rsidR="00D660EB" w:rsidRPr="00D660EB" w:rsidRDefault="00D660EB" w:rsidP="00D660EB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Elaborar y actualizar las políticas y procedimientos relacionados con el servicio de mensajería.</w:t>
      </w:r>
    </w:p>
    <w:p w:rsidR="00D660EB" w:rsidRDefault="00D660EB" w:rsidP="00D660EB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Coordinar la implantación de los contratos, políticas y procedimientos, así como otro tipo de acciones o iniciativas relativas al servicio de mensajería.</w:t>
      </w:r>
    </w:p>
    <w:p w:rsidR="009924BF" w:rsidRPr="00D660EB" w:rsidRDefault="009924BF" w:rsidP="009924B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BEC" w:rsidRPr="009924BF" w:rsidRDefault="009924BF" w:rsidP="009924BF">
      <w:pPr>
        <w:pStyle w:val="Ttulo2"/>
        <w:numPr>
          <w:ilvl w:val="1"/>
          <w:numId w:val="4"/>
        </w:numPr>
        <w:tabs>
          <w:tab w:val="left" w:pos="426"/>
        </w:tabs>
        <w:ind w:left="284" w:hanging="284"/>
        <w:rPr>
          <w:rFonts w:ascii="Arial" w:hAnsi="Arial" w:cs="Arial"/>
          <w:b w:val="0"/>
          <w:color w:val="auto"/>
          <w:sz w:val="20"/>
          <w:szCs w:val="20"/>
          <w:u w:val="single"/>
        </w:rPr>
      </w:pPr>
      <w:bookmarkStart w:id="10" w:name="_Toc535409239"/>
      <w:r w:rsidRPr="009924BF">
        <w:rPr>
          <w:rFonts w:ascii="Arial" w:hAnsi="Arial" w:cs="Arial"/>
          <w:b w:val="0"/>
          <w:color w:val="auto"/>
          <w:sz w:val="20"/>
          <w:szCs w:val="20"/>
          <w:u w:val="single"/>
        </w:rPr>
        <w:t>Compras</w:t>
      </w:r>
      <w:bookmarkEnd w:id="10"/>
    </w:p>
    <w:p w:rsidR="009924BF" w:rsidRPr="009924BF" w:rsidRDefault="009924BF" w:rsidP="009924BF"/>
    <w:p w:rsidR="009924BF" w:rsidRDefault="009924BF" w:rsidP="009924BF">
      <w:r w:rsidRPr="009924BF">
        <w:t>Será la encargada de</w:t>
      </w:r>
      <w:r>
        <w:t>:</w:t>
      </w:r>
    </w:p>
    <w:p w:rsidR="009924BF" w:rsidRDefault="009924BF" w:rsidP="009924BF">
      <w:pPr>
        <w:pStyle w:val="Prrafodelista"/>
        <w:numPr>
          <w:ilvl w:val="0"/>
          <w:numId w:val="14"/>
        </w:numPr>
        <w:spacing w:line="360" w:lineRule="auto"/>
      </w:pPr>
      <w:r>
        <w:t>Gestionar los contratos</w:t>
      </w:r>
    </w:p>
    <w:p w:rsidR="009924BF" w:rsidRPr="009924BF" w:rsidRDefault="009924BF" w:rsidP="009924BF">
      <w:pPr>
        <w:pStyle w:val="Prrafodelista"/>
        <w:numPr>
          <w:ilvl w:val="0"/>
          <w:numId w:val="14"/>
        </w:numPr>
        <w:spacing w:line="360" w:lineRule="auto"/>
      </w:pPr>
      <w:r>
        <w:t>Lanzamiento y adjudicación de los concursos</w:t>
      </w:r>
    </w:p>
    <w:p w:rsidR="009924BF" w:rsidRPr="009924BF" w:rsidRDefault="009924BF" w:rsidP="009924BF"/>
    <w:p w:rsidR="00B1564A" w:rsidRPr="00D660EB" w:rsidRDefault="00D660EB" w:rsidP="00B1564A">
      <w:pPr>
        <w:pStyle w:val="Ttulo2"/>
        <w:numPr>
          <w:ilvl w:val="1"/>
          <w:numId w:val="4"/>
        </w:numPr>
        <w:tabs>
          <w:tab w:val="left" w:pos="426"/>
        </w:tabs>
        <w:ind w:left="284" w:hanging="284"/>
        <w:rPr>
          <w:rFonts w:ascii="Arial" w:hAnsi="Arial" w:cs="Arial"/>
          <w:b w:val="0"/>
          <w:color w:val="auto"/>
          <w:sz w:val="20"/>
          <w:szCs w:val="20"/>
          <w:u w:val="single"/>
        </w:rPr>
      </w:pPr>
      <w:bookmarkStart w:id="11" w:name="_Toc535409240"/>
      <w:r w:rsidRPr="00D660EB">
        <w:rPr>
          <w:rFonts w:ascii="Arial" w:hAnsi="Arial" w:cs="Arial"/>
          <w:b w:val="0"/>
          <w:color w:val="auto"/>
          <w:sz w:val="20"/>
          <w:szCs w:val="20"/>
          <w:u w:val="single"/>
        </w:rPr>
        <w:t>Áreas operativas y funcionales</w:t>
      </w:r>
      <w:bookmarkEnd w:id="11"/>
    </w:p>
    <w:p w:rsidR="004236DA" w:rsidRDefault="004236DA" w:rsidP="002E7CCB">
      <w:pPr>
        <w:jc w:val="both"/>
        <w:rPr>
          <w:rFonts w:ascii="Verdana" w:hAnsi="Verdana"/>
          <w:color w:val="000099"/>
          <w:sz w:val="20"/>
          <w:szCs w:val="20"/>
        </w:rPr>
      </w:pPr>
    </w:p>
    <w:p w:rsidR="00D660EB" w:rsidRPr="00D660EB" w:rsidRDefault="00D660EB" w:rsidP="00D660EB">
      <w:pPr>
        <w:ind w:left="360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Será</w:t>
      </w:r>
      <w:r>
        <w:rPr>
          <w:rFonts w:ascii="Arial" w:hAnsi="Arial" w:cs="Arial"/>
          <w:sz w:val="20"/>
          <w:szCs w:val="20"/>
        </w:rPr>
        <w:t>n</w:t>
      </w:r>
      <w:r w:rsidRPr="00D660EB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D660EB">
        <w:rPr>
          <w:rFonts w:ascii="Arial" w:hAnsi="Arial" w:cs="Arial"/>
          <w:sz w:val="20"/>
          <w:szCs w:val="20"/>
        </w:rPr>
        <w:t xml:space="preserve"> encargada</w:t>
      </w:r>
      <w:r>
        <w:rPr>
          <w:rFonts w:ascii="Arial" w:hAnsi="Arial" w:cs="Arial"/>
          <w:sz w:val="20"/>
          <w:szCs w:val="20"/>
        </w:rPr>
        <w:t>s</w:t>
      </w:r>
      <w:r w:rsidRPr="00D660EB">
        <w:rPr>
          <w:rFonts w:ascii="Arial" w:hAnsi="Arial" w:cs="Arial"/>
          <w:sz w:val="20"/>
          <w:szCs w:val="20"/>
        </w:rPr>
        <w:t xml:space="preserve"> de:</w:t>
      </w:r>
    </w:p>
    <w:p w:rsidR="00D660EB" w:rsidRPr="00D660EB" w:rsidRDefault="00D660EB" w:rsidP="00D660EB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Gestionar las necesidades de su Área de responsabilidad.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Participar en la valoración del desempeño de los proveedores adjudicatarios de los contratos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Resolución junto con los proveedores de incidencias que pudiesen surgir en el servicio.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 xml:space="preserve">Implantar en el Área correspondiente las acciones e iniciativas relacionadas con el servicio de mensajería, de acuerdo con este procedimiento y buscando la eficiencia y el ahorro de costes. Las iniciativas que se tomen en este sentido deben ser comunicadas al responsable de Servicios Generales, con el fin de aprovecharlas en toda </w:t>
      </w:r>
      <w:smartTag w:uri="urn:schemas-microsoft-com:office:smarttags" w:element="PersonName">
        <w:smartTagPr>
          <w:attr w:name="ProductID" w:val="la Organizaci￳n."/>
        </w:smartTagPr>
        <w:r w:rsidRPr="00D660EB">
          <w:rPr>
            <w:rFonts w:ascii="Arial" w:hAnsi="Arial" w:cs="Arial"/>
            <w:sz w:val="20"/>
            <w:szCs w:val="20"/>
          </w:rPr>
          <w:t>la Organización.</w:t>
        </w:r>
      </w:smartTag>
    </w:p>
    <w:p w:rsidR="00824BEC" w:rsidRPr="00F4622F" w:rsidRDefault="00824BEC" w:rsidP="00EC358A">
      <w:pPr>
        <w:jc w:val="both"/>
        <w:rPr>
          <w:rFonts w:ascii="Arial" w:hAnsi="Arial" w:cs="Arial"/>
          <w:sz w:val="20"/>
          <w:szCs w:val="20"/>
        </w:rPr>
      </w:pPr>
    </w:p>
    <w:p w:rsidR="00EC358A" w:rsidRPr="00D660EB" w:rsidRDefault="00D660EB" w:rsidP="00D660EB">
      <w:pPr>
        <w:pStyle w:val="Ttulo1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b w:val="0"/>
          <w:color w:val="0000CC"/>
          <w:sz w:val="20"/>
          <w:szCs w:val="20"/>
        </w:rPr>
      </w:pPr>
      <w:bookmarkStart w:id="12" w:name="_Toc535409241"/>
      <w:r w:rsidRPr="00D660EB">
        <w:rPr>
          <w:rFonts w:ascii="Arial" w:hAnsi="Arial" w:cs="Arial"/>
          <w:b w:val="0"/>
          <w:color w:val="0000CC"/>
          <w:sz w:val="20"/>
          <w:szCs w:val="20"/>
        </w:rPr>
        <w:t>Política y Procedimiento</w:t>
      </w:r>
      <w:bookmarkEnd w:id="12"/>
    </w:p>
    <w:p w:rsidR="004236DA" w:rsidRDefault="004236DA" w:rsidP="002E7CCB">
      <w:pPr>
        <w:jc w:val="both"/>
        <w:rPr>
          <w:rFonts w:ascii="Verdana" w:hAnsi="Verdana"/>
          <w:color w:val="000099"/>
          <w:sz w:val="20"/>
          <w:szCs w:val="20"/>
        </w:rPr>
      </w:pPr>
    </w:p>
    <w:p w:rsidR="00D660EB" w:rsidRPr="00D660EB" w:rsidRDefault="00D660EB" w:rsidP="00D660EB">
      <w:pPr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La política del Grupo FCC para la utilización de los servicios de mensajería es la siguiente: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lastRenderedPageBreak/>
        <w:t>La contratación y utilización de los servicios de mensajería responderán a criterios de eficiencia y ahorro de costes.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Donde el Grupo FCC haya establecido un acuerdo con uno o varios proveedores para la prestación de servicio de mensajería sólo se podrán utilizar estos proveedores.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Los servicios de mensajería con cargo al Grupo FCC solamente podrán ser utilizados para envíos relacionados con las actividades de FCC.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Se hará un uso racional de los servicios de mensajería de servicios recurrentes y contratados, evitando la utilización de servicios “urgentes” y/o entregas en horas en las que las tarifas a aplicar supongan un importante sobre-coste. Asimismo, se potenciará la utilización del envío electrónico de documentación siempre que sea posible.</w:t>
      </w:r>
    </w:p>
    <w:p w:rsidR="00D660EB" w:rsidRPr="00D660EB" w:rsidRDefault="00D660EB" w:rsidP="00D660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En cada centro de trabajo, se procurará la centralización de la gestión operativa del servicio.</w:t>
      </w:r>
    </w:p>
    <w:p w:rsidR="003929B5" w:rsidRPr="00EC358A" w:rsidRDefault="003929B5" w:rsidP="00EC358A">
      <w:pPr>
        <w:jc w:val="both"/>
        <w:rPr>
          <w:rFonts w:ascii="Verdana" w:hAnsi="Verdana"/>
          <w:sz w:val="20"/>
          <w:szCs w:val="20"/>
        </w:rPr>
      </w:pPr>
    </w:p>
    <w:p w:rsidR="00EC358A" w:rsidRPr="00BC51A6" w:rsidRDefault="00D660EB" w:rsidP="00D660EB">
      <w:pPr>
        <w:pStyle w:val="Ttulo1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b w:val="0"/>
          <w:color w:val="0000CC"/>
          <w:sz w:val="20"/>
          <w:szCs w:val="20"/>
        </w:rPr>
      </w:pPr>
      <w:bookmarkStart w:id="13" w:name="_Toc535409242"/>
      <w:r>
        <w:rPr>
          <w:rFonts w:ascii="Arial" w:hAnsi="Arial" w:cs="Arial"/>
          <w:b w:val="0"/>
          <w:color w:val="0000CC"/>
          <w:sz w:val="20"/>
          <w:szCs w:val="20"/>
        </w:rPr>
        <w:t>Ahorro y control del gasto</w:t>
      </w:r>
      <w:bookmarkEnd w:id="13"/>
    </w:p>
    <w:p w:rsidR="004236DA" w:rsidRDefault="004236DA" w:rsidP="004F31BC">
      <w:pPr>
        <w:jc w:val="both"/>
        <w:rPr>
          <w:rFonts w:ascii="Verdana" w:hAnsi="Verdana"/>
          <w:color w:val="000099"/>
          <w:sz w:val="20"/>
          <w:szCs w:val="20"/>
        </w:rPr>
      </w:pPr>
    </w:p>
    <w:p w:rsidR="00D660EB" w:rsidRPr="00D660EB" w:rsidRDefault="00D660EB" w:rsidP="00D660EB">
      <w:pPr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Servicios Generales utilizará, entre otras, las siguientes herramientas para optimizar el gasto en el servicio de mensajería:</w:t>
      </w:r>
    </w:p>
    <w:p w:rsidR="00D660EB" w:rsidRPr="00D660EB" w:rsidRDefault="00D660EB" w:rsidP="00D660E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Consolidación de volúmenes para la optimización de condiciones económicas.</w:t>
      </w:r>
    </w:p>
    <w:p w:rsidR="00D660EB" w:rsidRPr="00D660EB" w:rsidRDefault="00D660EB" w:rsidP="00D660E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>Elaboración, análisis y distribución de informes periódicos de consumo y gasto.</w:t>
      </w:r>
    </w:p>
    <w:p w:rsidR="00D660EB" w:rsidRPr="00D660EB" w:rsidRDefault="00D660EB" w:rsidP="00D660E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60EB">
        <w:rPr>
          <w:rFonts w:ascii="Arial" w:hAnsi="Arial" w:cs="Arial"/>
          <w:sz w:val="20"/>
          <w:szCs w:val="20"/>
        </w:rPr>
        <w:t xml:space="preserve">Emisión de comunicaciones de racionalización del gasto </w:t>
      </w:r>
    </w:p>
    <w:p w:rsidR="00D660EB" w:rsidRPr="00EC005E" w:rsidRDefault="00D660EB" w:rsidP="00D660EB">
      <w:pPr>
        <w:jc w:val="both"/>
        <w:rPr>
          <w:rFonts w:ascii="Arial" w:hAnsi="Arial" w:cs="Arial"/>
          <w:sz w:val="20"/>
          <w:szCs w:val="20"/>
        </w:rPr>
      </w:pPr>
    </w:p>
    <w:sectPr w:rsidR="00D660EB" w:rsidRPr="00EC005E" w:rsidSect="00945F5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Borders w:display="firstPage"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61D" w:rsidRDefault="00C2461D" w:rsidP="004F31BC">
      <w:pPr>
        <w:spacing w:after="0" w:line="240" w:lineRule="auto"/>
      </w:pPr>
      <w:r>
        <w:separator/>
      </w:r>
    </w:p>
  </w:endnote>
  <w:endnote w:type="continuationSeparator" w:id="0">
    <w:p w:rsidR="00C2461D" w:rsidRDefault="00C2461D" w:rsidP="004F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1D" w:rsidRPr="002106A0" w:rsidRDefault="00C2461D" w:rsidP="004F31BC">
    <w:pPr>
      <w:pStyle w:val="Piedepgina"/>
      <w:pBdr>
        <w:top w:val="single" w:sz="4" w:space="1" w:color="auto"/>
      </w:pBdr>
      <w:ind w:hanging="5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DSSGG</w:t>
    </w:r>
    <w:r w:rsidRPr="002106A0">
      <w:rPr>
        <w:color w:val="808080"/>
        <w:sz w:val="16"/>
        <w:szCs w:val="16"/>
      </w:rPr>
      <w:t>-FCC</w:t>
    </w:r>
    <w:r w:rsidRPr="002106A0">
      <w:rPr>
        <w:color w:val="808080"/>
        <w:sz w:val="16"/>
        <w:szCs w:val="16"/>
      </w:rPr>
      <w:tab/>
    </w:r>
    <w:r w:rsidRPr="002106A0">
      <w:rPr>
        <w:color w:val="808080"/>
        <w:sz w:val="16"/>
        <w:szCs w:val="16"/>
      </w:rPr>
      <w:tab/>
    </w:r>
    <w:r w:rsidRPr="000E64AF">
      <w:rPr>
        <w:color w:val="808080"/>
        <w:sz w:val="18"/>
        <w:szCs w:val="18"/>
      </w:rPr>
      <w:fldChar w:fldCharType="begin"/>
    </w:r>
    <w:r w:rsidRPr="000E64AF">
      <w:rPr>
        <w:color w:val="808080"/>
        <w:sz w:val="18"/>
        <w:szCs w:val="18"/>
      </w:rPr>
      <w:instrText xml:space="preserve"> </w:instrText>
    </w:r>
    <w:r>
      <w:rPr>
        <w:color w:val="808080"/>
        <w:sz w:val="18"/>
        <w:szCs w:val="18"/>
      </w:rPr>
      <w:instrText>PAGE</w:instrText>
    </w:r>
    <w:r w:rsidRPr="000E64AF">
      <w:rPr>
        <w:color w:val="808080"/>
        <w:sz w:val="18"/>
        <w:szCs w:val="18"/>
      </w:rPr>
      <w:instrText xml:space="preserve">   \* MERGEFORMAT </w:instrText>
    </w:r>
    <w:r w:rsidRPr="000E64AF">
      <w:rPr>
        <w:color w:val="808080"/>
        <w:sz w:val="18"/>
        <w:szCs w:val="18"/>
      </w:rPr>
      <w:fldChar w:fldCharType="separate"/>
    </w:r>
    <w:r w:rsidR="00E40E94">
      <w:rPr>
        <w:noProof/>
        <w:color w:val="808080"/>
        <w:sz w:val="18"/>
        <w:szCs w:val="18"/>
      </w:rPr>
      <w:t>5</w:t>
    </w:r>
    <w:r w:rsidRPr="000E64AF"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61D" w:rsidRDefault="00C2461D" w:rsidP="004F31BC">
      <w:pPr>
        <w:spacing w:after="0" w:line="240" w:lineRule="auto"/>
      </w:pPr>
      <w:r>
        <w:separator/>
      </w:r>
    </w:p>
  </w:footnote>
  <w:footnote w:type="continuationSeparator" w:id="0">
    <w:p w:rsidR="00C2461D" w:rsidRDefault="00C2461D" w:rsidP="004F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1D" w:rsidRPr="00774A9A" w:rsidRDefault="00C2461D" w:rsidP="004F31BC">
    <w:pPr>
      <w:pStyle w:val="Encabezado"/>
      <w:ind w:hanging="5"/>
      <w:rPr>
        <w:b/>
        <w:color w:val="808080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3E52A59" wp14:editId="3996940A">
          <wp:simplePos x="0" y="0"/>
          <wp:positionH relativeFrom="column">
            <wp:posOffset>5480685</wp:posOffset>
          </wp:positionH>
          <wp:positionV relativeFrom="paragraph">
            <wp:posOffset>-204470</wp:posOffset>
          </wp:positionV>
          <wp:extent cx="579120" cy="335280"/>
          <wp:effectExtent l="76200" t="76200" r="30480" b="8382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A1946" wp14:editId="5E6883DF">
              <wp:simplePos x="0" y="0"/>
              <wp:positionH relativeFrom="column">
                <wp:posOffset>15240</wp:posOffset>
              </wp:positionH>
              <wp:positionV relativeFrom="paragraph">
                <wp:posOffset>170180</wp:posOffset>
              </wp:positionV>
              <wp:extent cx="5362575" cy="635"/>
              <wp:effectExtent l="15240" t="8255" r="1333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5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2E6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13.4pt;width:422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" strokecolor="#a5a5a5" strokeweight="1pt">
              <v:shadow color="#205867" opacity=".5" offset="1pt"/>
            </v:shape>
          </w:pict>
        </mc:Fallback>
      </mc:AlternateContent>
    </w:r>
    <w:r>
      <w:rPr>
        <w:b/>
        <w:color w:val="808080"/>
        <w:sz w:val="16"/>
        <w:szCs w:val="16"/>
      </w:rPr>
      <w:t xml:space="preserve"> </w:t>
    </w:r>
    <w:r>
      <w:rPr>
        <w:b/>
        <w:color w:val="808080"/>
        <w:sz w:val="16"/>
        <w:szCs w:val="16"/>
        <w:lang w:val="es-ES"/>
      </w:rPr>
      <w:t xml:space="preserve">PROCEDIMIENTO DE GESTIÓN DEL SERVICIO DE MENSAJERÍA </w:t>
    </w:r>
    <w:r>
      <w:rPr>
        <w:b/>
        <w:color w:val="808080"/>
        <w:sz w:val="16"/>
        <w:szCs w:val="16"/>
      </w:rPr>
      <w:t xml:space="preserve"> – v0</w:t>
    </w:r>
    <w:r w:rsidR="00F62227">
      <w:rPr>
        <w:b/>
        <w:color w:val="808080"/>
        <w:sz w:val="16"/>
        <w:szCs w:val="16"/>
      </w:rPr>
      <w:t>4</w:t>
    </w:r>
  </w:p>
  <w:p w:rsidR="00C2461D" w:rsidRDefault="00C246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420C"/>
    <w:multiLevelType w:val="hybridMultilevel"/>
    <w:tmpl w:val="369EA8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54E3"/>
    <w:multiLevelType w:val="hybridMultilevel"/>
    <w:tmpl w:val="85626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B02E7C"/>
    <w:multiLevelType w:val="multilevel"/>
    <w:tmpl w:val="C37AA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99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B4412E"/>
    <w:multiLevelType w:val="hybridMultilevel"/>
    <w:tmpl w:val="78049FA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13CA9"/>
    <w:multiLevelType w:val="hybridMultilevel"/>
    <w:tmpl w:val="D500E01E"/>
    <w:lvl w:ilvl="0" w:tplc="05886F14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3AC6"/>
    <w:multiLevelType w:val="hybridMultilevel"/>
    <w:tmpl w:val="E6285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3220"/>
    <w:multiLevelType w:val="hybridMultilevel"/>
    <w:tmpl w:val="870EC2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7498"/>
    <w:multiLevelType w:val="hybridMultilevel"/>
    <w:tmpl w:val="9B56B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313B6"/>
    <w:multiLevelType w:val="multilevel"/>
    <w:tmpl w:val="91A6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EA69F2"/>
    <w:multiLevelType w:val="multilevel"/>
    <w:tmpl w:val="91A6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003B00"/>
    <w:multiLevelType w:val="multilevel"/>
    <w:tmpl w:val="91A6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0624DD"/>
    <w:multiLevelType w:val="hybridMultilevel"/>
    <w:tmpl w:val="D3866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902A5"/>
    <w:multiLevelType w:val="hybridMultilevel"/>
    <w:tmpl w:val="5EDA40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633B7"/>
    <w:multiLevelType w:val="hybridMultilevel"/>
    <w:tmpl w:val="6E5A11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78"/>
    <w:rsid w:val="0003200C"/>
    <w:rsid w:val="0004561C"/>
    <w:rsid w:val="000A2408"/>
    <w:rsid w:val="000B0DA9"/>
    <w:rsid w:val="000C6454"/>
    <w:rsid w:val="000D0264"/>
    <w:rsid w:val="000D30EB"/>
    <w:rsid w:val="00126DF8"/>
    <w:rsid w:val="0013799B"/>
    <w:rsid w:val="001554C4"/>
    <w:rsid w:val="0017693F"/>
    <w:rsid w:val="001E29FE"/>
    <w:rsid w:val="0021508A"/>
    <w:rsid w:val="00245F3C"/>
    <w:rsid w:val="002965B4"/>
    <w:rsid w:val="002E7CCB"/>
    <w:rsid w:val="002F6694"/>
    <w:rsid w:val="00386B91"/>
    <w:rsid w:val="003929B5"/>
    <w:rsid w:val="003A3C54"/>
    <w:rsid w:val="004236DA"/>
    <w:rsid w:val="004B1D0A"/>
    <w:rsid w:val="004B2D0F"/>
    <w:rsid w:val="004F31BC"/>
    <w:rsid w:val="00540C29"/>
    <w:rsid w:val="00583E58"/>
    <w:rsid w:val="00592780"/>
    <w:rsid w:val="005F6D0D"/>
    <w:rsid w:val="00606554"/>
    <w:rsid w:val="0064648E"/>
    <w:rsid w:val="00671F5D"/>
    <w:rsid w:val="00682193"/>
    <w:rsid w:val="006B38D0"/>
    <w:rsid w:val="006C4409"/>
    <w:rsid w:val="0071621E"/>
    <w:rsid w:val="00734DD1"/>
    <w:rsid w:val="00741221"/>
    <w:rsid w:val="00774E1A"/>
    <w:rsid w:val="007D23C4"/>
    <w:rsid w:val="007D418F"/>
    <w:rsid w:val="007E1B3E"/>
    <w:rsid w:val="00824BEC"/>
    <w:rsid w:val="008568AA"/>
    <w:rsid w:val="008603D0"/>
    <w:rsid w:val="00874302"/>
    <w:rsid w:val="00875B6C"/>
    <w:rsid w:val="008774BA"/>
    <w:rsid w:val="008D6F78"/>
    <w:rsid w:val="008E72D9"/>
    <w:rsid w:val="009103E1"/>
    <w:rsid w:val="009218FD"/>
    <w:rsid w:val="00944F3A"/>
    <w:rsid w:val="00945F5A"/>
    <w:rsid w:val="00987157"/>
    <w:rsid w:val="009924BF"/>
    <w:rsid w:val="00A6049D"/>
    <w:rsid w:val="00B0712F"/>
    <w:rsid w:val="00B1564A"/>
    <w:rsid w:val="00B479D2"/>
    <w:rsid w:val="00BC51A6"/>
    <w:rsid w:val="00BD2353"/>
    <w:rsid w:val="00C2461D"/>
    <w:rsid w:val="00C27996"/>
    <w:rsid w:val="00CC394A"/>
    <w:rsid w:val="00CE47CF"/>
    <w:rsid w:val="00CF6C0A"/>
    <w:rsid w:val="00D030CE"/>
    <w:rsid w:val="00D20DB4"/>
    <w:rsid w:val="00D6412D"/>
    <w:rsid w:val="00D660EB"/>
    <w:rsid w:val="00D67996"/>
    <w:rsid w:val="00D922AB"/>
    <w:rsid w:val="00DA30C9"/>
    <w:rsid w:val="00DA7676"/>
    <w:rsid w:val="00DC42F6"/>
    <w:rsid w:val="00DE7E49"/>
    <w:rsid w:val="00E1458A"/>
    <w:rsid w:val="00E40E94"/>
    <w:rsid w:val="00E77FA4"/>
    <w:rsid w:val="00EC358A"/>
    <w:rsid w:val="00F4622F"/>
    <w:rsid w:val="00F62227"/>
    <w:rsid w:val="00F75D48"/>
    <w:rsid w:val="00FA6694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docId w15:val="{264BB106-FDD2-4011-9EE2-62D4536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1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F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3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1BC"/>
  </w:style>
  <w:style w:type="paragraph" w:styleId="Piedepgina">
    <w:name w:val="footer"/>
    <w:basedOn w:val="Normal"/>
    <w:link w:val="PiedepginaCar"/>
    <w:uiPriority w:val="99"/>
    <w:unhideWhenUsed/>
    <w:rsid w:val="004F3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1BC"/>
  </w:style>
  <w:style w:type="paragraph" w:customStyle="1" w:styleId="Cuadrculamedia21">
    <w:name w:val="Cuadrícula media 21"/>
    <w:link w:val="Cuadrculamedia2Car"/>
    <w:uiPriority w:val="1"/>
    <w:qFormat/>
    <w:rsid w:val="00945F5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Cuadrculamedia2Car">
    <w:name w:val="Cuadrícula media 2 Car"/>
    <w:link w:val="Cuadrculamedia21"/>
    <w:uiPriority w:val="1"/>
    <w:rsid w:val="00945F5A"/>
    <w:rPr>
      <w:rFonts w:ascii="Calibri" w:eastAsia="Times New Roman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75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5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D23C4"/>
    <w:pPr>
      <w:outlineLvl w:val="9"/>
    </w:pPr>
    <w:rPr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7D23C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D23C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D23C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238B-4F4B-4D80-B528-8341E0E3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FJSanchezP@fcc.es</dc:creator>
  <cp:lastModifiedBy>Sanchez Perez, Francisco Javier</cp:lastModifiedBy>
  <cp:revision>4</cp:revision>
  <cp:lastPrinted>2015-06-26T09:57:00Z</cp:lastPrinted>
  <dcterms:created xsi:type="dcterms:W3CDTF">2019-01-16T12:38:00Z</dcterms:created>
  <dcterms:modified xsi:type="dcterms:W3CDTF">2019-01-16T12:41:00Z</dcterms:modified>
</cp:coreProperties>
</file>